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CYNTHIA CHRISTINE  LENNON</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61</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