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02 December</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03 December</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04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05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06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Amir Rockman</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Shlomit  Ferber</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054-315-2669</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