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02 December</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03 December</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04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05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06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Amir Rockman</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