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ROBERT BERNARD MR CAHILL,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