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19 August</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20 August</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21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22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23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0F528782"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guide_</w:t>
      </w:r>
      <w:proofErr w:type="gramStart"/>
      <w:r w:rsidR="00DB1708" w:rsidRPr="006F0179">
        <w:rPr>
          <w:rStyle w:val="Body-CalibriSubheadBoldCharacter"/>
          <w:bCs/>
          <w:sz w:val="20"/>
          <w:szCs w:val="20"/>
        </w:rPr>
        <w:t>name</w:t>
      </w:r>
      <w:r w:rsidR="003E59B0">
        <w:rPr>
          <w:rStyle w:val="Body-CalibriSubheadBoldCharacter"/>
          <w:bCs/>
          <w:sz w:val="20"/>
          <w:szCs w:val="20"/>
        </w:rPr>
        <w:t xml:space="preserve"> </w:t>
      </w:r>
      <w:r w:rsidR="0083585F" w:rsidRPr="006F0179">
        <w:rPr>
          <w:b/>
          <w:sz w:val="20"/>
          <w:szCs w:val="20"/>
        </w:rPr>
        <w:t>:</w:t>
      </w:r>
      <w:proofErr w:type="gramEnd"/>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054-538-2044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hostess_</w:t>
      </w:r>
      <w:proofErr w:type="gramStart"/>
      <w:r w:rsidRPr="006F0179">
        <w:rPr>
          <w:b/>
          <w:bCs/>
          <w:sz w:val="20"/>
          <w:szCs w:val="22"/>
          <w:u w:val="single"/>
        </w:rPr>
        <w:t>name</w:t>
      </w:r>
      <w:r>
        <w:rPr>
          <w:b/>
          <w:bCs/>
          <w:sz w:val="20"/>
          <w:szCs w:val="22"/>
          <w:u w:val="single"/>
        </w:rPr>
        <w:t xml:space="preserve"> </w:t>
      </w:r>
      <w:r w:rsidRPr="006F0179">
        <w:rPr>
          <w:b/>
          <w:bCs/>
          <w:sz w:val="20"/>
          <w:szCs w:val="22"/>
          <w:u w:val="single"/>
        </w:rPr>
        <w:t xml:space="preserve"> +</w:t>
      </w:r>
      <w:proofErr w:type="gramEnd"/>
      <w:r w:rsidRPr="006F0179">
        <w:rPr>
          <w:b/>
          <w:bCs/>
          <w:sz w:val="20"/>
          <w:szCs w:val="22"/>
          <w:u w:val="single"/>
        </w:rPr>
        <w:t xml:space="preserve">972 - </w:t>
      </w:r>
      <w:r w:rsidRPr="006F0179">
        <w:rPr>
          <w:rStyle w:val="Body-CalibriSubheadBoldCharacter"/>
          <w:sz w:val="20"/>
          <w:szCs w:val="20"/>
        </w:rPr>
        <w:t xml:space="preserve"> </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 xml:space="preserve">Arrival </w:t>
      </w:r>
      <w:proofErr w:type="gramStart"/>
      <w:r w:rsidRPr="009D04AF">
        <w:rPr>
          <w:b/>
          <w:bCs/>
          <w:sz w:val="20"/>
          <w:szCs w:val="22"/>
        </w:rPr>
        <w:t>Day :</w:t>
      </w:r>
      <w:proofErr w:type="gramEnd"/>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7"/>
      <w:footerReference w:type="default" r:id="rId8"/>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35650">
    <w:abstractNumId w:val="2"/>
  </w:num>
  <w:num w:numId="2" w16cid:durableId="785273153">
    <w:abstractNumId w:val="1"/>
  </w:num>
  <w:num w:numId="3" w16cid:durableId="134821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D0A8D4A"/>
  <w15:docId w15:val="{09F4F110-ED33-4AFF-A107-85605B9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Pages>
  <Words>592</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115</cp:revision>
  <cp:lastPrinted>2019-04-03T14:32:00Z</cp:lastPrinted>
  <dcterms:created xsi:type="dcterms:W3CDTF">2017-01-30T09:06:00Z</dcterms:created>
  <dcterms:modified xsi:type="dcterms:W3CDTF">2022-11-30T13:49:00Z</dcterms:modified>
</cp:coreProperties>
</file>