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2:00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3:15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3:15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3:45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