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RICHARD ANTHONY  KENNEDY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