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COLLEEN J  POLITE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077 2443138039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