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FREDERICK AIAN  MONTGOME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