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 DAVID S FLYNN,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