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07,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CAROLE RENEE  KOLOFSKE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11 -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077 2441060477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